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2015/2 vom 21. November 2012</w:t>
      </w:r>
    </w:p>
    <w:p>
      <w:r>
        <w:t>Sg Versicherungsgericht, 2012-11-21, DE</w:t>
      </w:r>
    </w:p>
    <w:p>
      <w:r>
        <w:rPr>
          <w:b/>
        </w:rPr>
        <w:t xml:space="preserve">Quelle: </w:t>
      </w:r>
      <w:r>
        <w:t>https://mcp.opencaselaw.ch/entscheid/sg_publikationen_EL 2015_2</w:t>
      </w:r>
    </w:p>
    <w:p>
      <w:r>
        <w:t>FR: SG_VERSICHERUNGSGERICHT EL 2015/2 du 21 novembre 2012</w:t>
      </w:r>
    </w:p>
    <w:p>
      <w:r>
        <w:t>IT: SG_VERSICHERUNGSGERICHT EL 2015/2 del 21 novembre 2012</w:t>
      </w:r>
    </w:p>
    <w:p>
      <w:pPr>
        <w:pStyle w:val="Heading2"/>
      </w:pPr>
      <w:r>
        <w:t>Regeste</w:t>
      </w:r>
    </w:p>
    <w:p>
      <w:r>
        <w:t>Art. 11 ELG.Sistierung von familienrechtlichen Unterhaltsleistungen. „Vorläufige“ Leistungszusprache unter Berücksichtigung eines geschätzten Erbanteils (Entscheid des Versicherungsgerichts des Kantons St. Gallen vom 7. Oktober 2016, EL 2015/2).Entscheid vom 7. Oktober 2016</w:t>
      </w:r>
    </w:p>
    <w:p>
      <w:pPr>
        <w:pStyle w:val="Heading2"/>
      </w:pPr>
      <w:r>
        <w:t>Erwägungen</w:t>
      </w:r>
    </w:p>
    <w:p>
      <w:r>
        <w:rPr>
          <w:b/>
        </w:rPr>
        <w:t>E. 1</w:t>
      </w:r>
    </w:p>
    <w:p>
      <w:r>
        <w:t>Die Beantwortung der Frage nach dem Gegenstand dieses Beschwerdeverfahrens erfordert eine Auseinandersetzung mit dem Inhalt der fünf Verfügungen vom September und Oktober 2014. Mit der Verfügung vom 1. September 2014 hat die Beschwerdegegnerin einen Fehler behoben, der ihr bei der ursprünglichen Leistungszusprache unterlaufen war: Sie hatte es versehentlich unterlassen, den Anteil der Beschwerdeführerin am Erbe ihrer Mutter zu berücksichtigen. Dabei kann es sich nur um eine Wiedererwägung (Art. 53 Abs. 2 ATSG) gehandelt haben. Im Zuge dieser Wiedererwägung hat die Beschwerdegegnerin die Ergänzungsleistung auch noch rückwirkend an die Mietzinsveränderungen nach der erstmaligen Leistungszusprache angepasst. Weil sie wohl irrtümlich davon ausgegangen ist, hinsichtlich des Wirkungszeitpunktes für die Wiedererwägung sei der Wirkungszeitpunkt für die rückwirkende Revision (die erste Mietzinsveränderung war per 1. Oktober 2012 erfolgt) massgebend, hat sie den Fehler bei der ursprünglichen Leistungszusprache nicht integral, das heisst rückwirkend ab dem Anspruchsbeginn im Juni 2012 (das Erbe war im Mai 2012 angefallen), korrigiert. Aber das ändert bezüglich der Definition des Streitgegenstandes nichts daran, dass die Verfügung vom 1. September 2014 eine Wiedererwägungsverfügung gewesen ist, die unter anderem auch eine rückwirkende Anpassung an die Mietzinsveränderungen beinhaltet hat. Diese Wiedererwägungsverfügung ist mit einer weiteren Verfügung vom 20. September 2014 noch während der laufenden Rechtsmittelfrist widerrufen (vgl. Art. 53 Abs. 3 ATSG) worden. Dieser Widerruf hat beide Teile der Verfügung vom 1. September 2014 betroffen, denn der Beschwerdegegnerin waren sowohl bei der Anpassung an die Mietzinsveränderungen als auch bezüglich der Ermittlung des anrechenbaren Vermögensverzehrs Fehler unterlaufen, die sie allesamt mit der Verfügung vom 20. September 2014 hat beheben wollen. Nur einen Tag später, am 21. September 2014, hat die Beschwerdegegnerin eine weitere Verfügung erlassen, die aber nichts mit den Verfügungen vom 1. und vom 20. September 2014 zu tun gehabt hat. Mit dieser Verfügung hat sie nämlich die Ergänzungsleistung für die Zukunft respektive für die Zeit ab dem 1. Oktober 2014 an eine weitere Sachverhaltsveränderung – den Auszug der Beschwerdeführerin aus der Wohnung des Stiefvaters – angepasst. Diese Verfügung hat zudem auch eine Abweisung des Revisionsbegehrens der Beschwerdeführerin bezüglich die sistierten Unterhaltsbeiträge ihres Vaters enthalten. Auch diese Verfügung hat aber an einem Fehler gelitten, denn die Beschwerdegegnerin hatte es versäumt, die Lebensbedarfspauschale an die Sachverhaltsveränderung anzupassen. Mit der Verfügung vom 4. Oktober 2014 hat die Beschwerdegegnerin diesen Fehler korrigiert. Die Verfügung vom 4. Oktober 2014 kann also nur eine Widerrufsverfügung gewesen sein, mit der die damals noch nicht rechtskräftige Verfügung vom 21. September 2014 integral ersetzt worden ist. Die Verfügung vom 5. Oktober 2014 scheint aufgrund ihres Wirkungszeitpunktes die Verfügung vom 4. Oktober 2014 ersetzt zu haben. Dieser Eindruck täuscht aber, denn mit der Verfügung vom 5. Oktober 2014 hat die Beschwerdegegnerin nicht einen Fehler korrigieren wollen, der ihr in der Verfügung vom 4. Oktober 2014 (Abweisung des Revisionsbegehrens betreffend die sistierten Unterhaltsbeiträge, Anpassung der Mietausgaben und der Lebensbedarfspauschale infolge des Umzuges) unterlaufen war. Vielmehr hat die Verfügung vom 5. Oktober 2014 bezweckt, anstelle eines „vorläufig“ geschätzten Erbanteils nun „definitiv“ das tatsächlich vorhandene Vermögen bei der Anspruchsberechnung zu berücksichtigen, nachdem die Erbteilung durchgeführt worden war. Selbstverständlich hat sich mit der Erbteilung der relevante Sachverhalt nicht verändert, da die Beschwerdeführerin nur den Erbanteil ausbezahlt erhalten haben kann, der ihr von Anfang an zugestanden hatte. Das ist der Beschwerdegegnerin natürlich bewusst gewesen, weshalb es sich bei der Verfügung vom 5. Oktober 2014 nicht um eine Revisionsverfügung im Sinne des Art. 17 Abs. 2 ATSG (mit dem Wirkungszeitpunkt 1. Oktober 2014) gehandelt und weshalb diese Verfügung keinen Widerruf der Verfügung vom 4. Oktober 2014 enthalten haben kann. Lässt man den – falsch gewählten – Wirkungszeitpunkt ausser Acht, ist augenscheinlich, dass die Verfügung vom 5. Oktober 2014 die Verfügung vom 20. September 2014, die damals noch nicht formell rechtskräftig gewesen ist, ersetzt hat. Die Beschwerdegegnerin hat mit anderen Worten mit der Verfügung vom 5. Oktober 2014 ihre Verfügung vom 20. September 2014 widerrufen, mit der sie bereits ihre Verfügung vom 1. September 2014 widerrufen hatte, die wiederum die ursprüngliche leistungszusprechende Verfügung wiedererwägungsweise ersetzt hatte. Als die Beschwerdeführerin am 6. Oktober 2014 eine Einsprache gegen die Verfügung vom 21. September 2014 erhoben hat, haben also nur noch zwei nicht rechtskräftige Verfügungen existiert, nämlich die Verfügung vom 4. Oktober 2014, die jene vom 21. September 2014 integral ersetzt hatte, und jene vom 5. Oktober 2014, die jene vom 20. September 2014 (und damit indirekt auch jene vom 1. September 2014) integral ersetzt hatte. Die Einsprache hat sich folglich gegen eine nicht mehr existente Verfügung gerichtet, was der Beschwerdeführerin im Zeitpunkt der Einspracheerhebung aber nicht bewusst gewesen sein konnte, da sie noch keine Kenntnis von den Verfügungen vom 4. und 5. Oktober 2014 hatte. Richtigerweise hätte die Beschwerdegegnerin die Einsprache als gegen die Verfügung vom 4. Oktober 2014 gerichtet entgegen nehmen müssen, die ja die Verfügung vom 21. September 2014 ersetzt hatte. Wohl aufgrund des in der Verfügung vom 5. Oktober 2014 falsch gewählten Wirkungszeitpunktes ist sie aber davon ausgegangen, dass diese Verfügung die Verfügung vom 4. Oktober 2014 ersetzt habe (was nicht der Fall gewesen ist) und dass sich die Einsprache folglich nur gegen die Verfügung vom 5. Oktober 2014 richten könne. Mit ihrem Schreiben vom 29. Oktober 2014 hat sie die Verfügung vom 5. Oktober 2014 zum Gegenstand des Einspracheverfahrens erhoben, das heisst sie hat den Gegenstand des Einspracheverfahrens ausgedehnt. Das Einspracheverfahren hat also einerseits die Anpassung der Ergänzungsleistung infolge des Umzuges der Beschwerdeführerin, die Abweisung des Revisionsbegehrens betreffend die Sistierung der Unterhaltsbeiträge und andererseits die wiedererwägungsweise Korrektur der ursprüng¬lichen leistungszusprechenden Verfügung vom 21. November 2012 – die Berücksichtigung des zuerst versehentlich vergessen gegangenen Erbanspruchs – zum Gegenstand gehabt. Da die Beschwerdeführerin den Einspracheentscheid, der dieses Einspracheverfahren abgeschlossen hat, integral angefochten hat, entspricht der Gegenstand dieses Beschwerdeverfahrens jenem des Einspracheverfahrens.</w:t>
      </w:r>
    </w:p>
    <w:p>
      <w:r>
        <w:rPr>
          <w:b/>
        </w:rPr>
        <w:t>E. 2</w:t>
      </w:r>
    </w:p>
    <w:p>
      <w:r>
        <w:t>Bezüglich der Anpassung der Mietausgaben und der Lebensbedarfspauschale per 1. Oktober 2014 erweist sich der angefochtene Einspracheentscheid als rechtmässig. Auch hinsichtlich der Sistierung der Unterhaltsbeiträge ist der Einspracheentscheid rechtmässig, das heisst die Beschwerdegegnerin hat das entsprechende Revisionsbegehren der Beschwerdeführerin zu Recht abgewiesen. Die Beschwerdeführerin hat zwar ab August 2014 von ihrem leiblichen Vater keine Unterhaltszahlungen mehr erhalten. Darin kann aber keine relevante Sachverhaltsveränderung im Sinne des Art. 17 Abs. 2 ATSG erblickt werden. Der Anspruch auf einen monatlichen Unterhaltsbeitrag von 257 Euro hat nämlich über den 31. Juli 2014 hinaus unverändert weiter bestanden. Nur die Durchsetzung dieses Anspruchs ist schwieriger geworden, weil der Vater der Beschwerdeführerin seiner Unterhaltspflicht nicht mehr freiwillig nachgekommen ist. Dies ist aber für den Ergänzungsleistungsanspruch der Beschwerdeführerin nicht ausschlaggebend, da sie aufgrund ihrer ergänzungsleistungsrechtlichen Schadenminderungspflicht gehalten gewesen ist, die Unterhaltsleistungen gegen den Willen des Vaters einzufordern. Etwas anderes gälte nur, wenn davon ausgegangen werden müsste, dass die Unterhaltsleistungen zum Vornherein uneinbringlich gewesen seien. Von einer solchen Uneinbringlichkeit wird aber rechtsprechungsgemäss erst ausgegangen, wenn sämtliche rechtlichen Möglichkeiten ausgeschöpft sind oder wenn wenigstens nachgewiesen ist, dass die Ausschöpfung allfälliger noch vorhandener rechtlicher Möglichkeiten nicht erfolgsversprechend ist (vgl. etwa das Urteil des Bundesgerichtes 9C_329/2010 vom 23. Juni 2010, E. 3.2, mit zahlreichen Hinweisen). Diese Voraussetzungen sind vorliegend offensichtlich nicht erfüllt gewesen. Im Gegenteil beweist die Tatsache, dass der Vater der Beschwerdeführerin seiner Unterhaltspflicht nachträglich dann doch noch, wenn auch nur rückwirkend ab Oktober 2014, nachgekommen ist, dass die Unterhaltsleistungen einbringlich gewesen sind bzw. immer noch sind. Würde die Beschwerdeführerin ihre rechtlichen Möglichkeiten ausschöpfen, könnte sie ihren unverändert weiter bestehenden Unterhaltsanspruch nach wie vor durchsetzen und folglich auch für den August und den September 2014 die Unterhaltszahlungen von ihrem Vater erhalten. Somit ist für die Berechnung des Ergänzungsleistungsanspruchs nicht auf den tatsächlichen Mittelzufluss, sondern darauf abzustellen, dass die Beschwerdeführerin über den 31. Juli 2014 unverändert einen Anspruch auf Unterhaltsleistungen ihres Vaters gehabt hat (vgl. hierzu auch RALPH JÖHL, Ergänzungsleistungen zur AHV/IV, in: Schweizerisches Bundessozialversicherungsrecht, Band XIV Soziale Sicherheit, 3. Aufl. 2016, Rz. 214). Daran ändert die Tatsache nichts, dass die Beschwerdeführerin damals noch sehr jung gewesen ist und keine Beiständin mehr zur Seite gehabt hat, denn sie hätte sich mit der Frage, was sie unternehmen soll, beispielsweise an das Sozialamt wenden können. Diesbezüglich ist die Beschwerde also abzuweisen.</w:t>
      </w:r>
    </w:p>
    <w:p>
      <w:r>
        <w:rPr>
          <w:b/>
        </w:rPr>
        <w:t>E. 3</w:t>
      </w:r>
    </w:p>
    <w:p>
      <w:r>
        <w:t>Die Beschwerdeführerin ist bereits im Mai 2012 und damit noch vor dem Anspruchsbeginn, dem 1. Juni 2012, Erbin gewesen. Folglich hätte ab dem Leistungsbeginn ein Erbanteil als Vermögensbestandteil berücksichtigt werden müssen. Die Beschwerdegegnerin hat zunächst (in der leistungszusprechenden Verfügung vom 21. November 2012) versehentlich vergessen, einen Erbanteil zu berücksichtigen, hat später (in den Verfügungen vom 1. und 20. September 2014) einen „vorläufig“ geschätzten Erbanteil von 15’000 Franken und schliesslich (in der Verfügung vom 5. Oktober 2014) den „definitiven“ Erbanteil berücksichtigt. Alle vier Verfügungen hätten an sich denselben Wirkungszeitpunkt aufweisen müssen, denn bei den Verfügungen vom 1. und 20. September 2014 und vom 5. Oktober 2014 kann es sich nur um Wiedererwägungs- respektive Widerrufsverfügungen gehandelt haben, wie in der E. 1 dargelegt worden ist. Angesichts des während der jeweils noch laufenden Rechtsmittelfrist erfolgten Widerrufs der Verfügungen vom 1. und 20. September 2014 kann die Verfügung vom 5. Oktober 2014 vereinfachend als Wiedererwägung der ursprünglichen leistungszusprechenden Verfügung vom 21. November 2012 bezeichnet werden. Auf die Frage nach der Zulässigkeit der „vorläufigen“ Berücksichtigung eines lediglich geschätzten Erbanteils ist folglich nicht weiter einzugehen. Zudem erübrigen sich Ausführungen zur Rechtmässigkeit des in den Verfügungen vom 1. und 20. September 2012 gewählten Wirkungszeitpunktes der Wiedererwägung (1. Oktober 2012), der offensichtlich falsch und wohl darin begründet gewesen ist, dass sich die Beschwerdegegnerin bei der Wahl des Wirkungszeitpunktes der Wiedererwägung irrtümlicherweise am Wirkungszeitpunkt der (ebenfalls in der Verfügung vom 1. September 2014 enthaltenen) Revision orientiert haben dürfte. Jedenfalls kommt als Wirkungszeitpunkt für die Wiedererwägung nur der Wirkungszeitpunkt der ursprünglichen Leistungszusprache in der Verfügung vom 21. November 2012, das heisst der 1. Juni 2012, in Frage. Da der Erbanteil der Beschwerdeführerin mit überwiegender Wahrscheinlichkeit damals weder höher noch tiefer als der Betrag gewesen ist, der im Sommer 2014 dann auch tatsächlich ausbezahlt worden ist, muss rückwirkend ab dem 1. Juni 2012 der ausbezahlte Betrag zum damals tatsächlich vorhandenen (übrigen) Vermögen addiert werden. Die leistungszusprechende Verfügung vom 21. November 2012 erweist sich folglich als zweifellos unrichtig, weil gar kein Erbanteil berücksichtigt worden ist; die Berichtigung dieses Fehlers ist von erheblicher Bedeutung, da der angerechnete Vermögensertrag, der sich nur am übrigen Vermögen orientiert hat, betraglich nicht richtig sein kann, was bedeutet, dass die Ergänzungsleistung entsprechend zu hoch ausgefallen ist (und da zudem das übrige Vermögen zusammen mit dem Erbanteil den Vermögensfreibetrag übersteigen und damit den EL-Anspruch zusätzlich beeinflussen könnte). Die Voraussetzungen für eine wiedererwägungsweise Korrektur der leistungszusprechenden Verfügung sind also erfüllt gewesen (vgl. Art. 53 Abs. 2 ATSG). Allerdings fehlen in den dem Gericht vorliegenden Akten Angaben zum „definitiven“ Betrag des Erbanteils der Beschwerdeführerin. Die von ihr eingereichten Bankauszüge enthalten zwar Hinweise auf entsprechende Gutschriften, vermögen aber den massgebenden Betrag der Erbschaft nicht mit dem erforderlichen Beweisgrad der überwiegenden Wahrscheinlichkeit zu belegen. Diesbezüglich erweist sich der Sachverhalt als ungenügend abgeklärt. Hinsichtlich der Erbschaft ist der angefochtene Einspracheentscheid vom 23. Dezember 2014 folglich in Verletzung der Untersuchungspflicht (Art. 43 Abs. 1 ATSG) ergangen, weshalb er als rechtswidrig aufzuheben ist. Die Sache ist an die Beschwerdegegnerin zurückzuweisen, die mittels weiterer Abklärungen den genauen Betrag des Erbanteils der Beschwerdeführerin in Erfahrung bringen und die Ergänzungsleistung rückwirkend ab dem 1. Juni 2012 entsprechend neu berechnen wird. Im Sinne eines obiter dictum ist darauf hinzuweisen, dass die in der Verfügung vom 5. Oktober 2014 enthaltene Berechnung falsch sein dürfte, weil darin der Sparbrief doppelt berücksichtigt worden ist. Die in der saldierten Übersicht des Guthabens bei der Bank B.___ angeführte Termineinlage (vgl. EL-act. 25–1) dürfte wohl dem in der Einzelaufstellung erwähnten Sparbrief (vgl. EL-act. 25–2) entsprechen. Angesichts des Umstandes, dass der Beschwerdeführerin nach dem Abschluss der weiteren Abklärungen auch für die Monate Juni bis und mit September 2012 (neu) ein höheres Vermögen und allenfalls ein entsprechender Vermögensverzehr anzurechnen sein wird, woraus eine entsprechende Rückforderung resultieren könnte, besteht die Gefahr einer sogenannten reformatio in peius, das heisst einer Korrektur des angefochtenen Einspracheentscheides zu Ungunsten der Beschwerdeführerin. Das massgebende Ver¬mögen in diesem Zeitraum wird aber den Freibetrag von 15’000 Franken nur geringfügig übersteigen (wenn überhaupt), denn nach der Erbteilung hat die Beschwerdeführerin bei korrekter Berechnung nur über ein Vermögen von rund 15’000 Franken (= 9’995.93 + 3’556.70 Franken + 1’180.45 + 50.48 Euro; wobei diese Beträge wie oben erläutert genauer zu erheben beziehungsweise zu belegen sind) verfügt. Eine allfällige Rückforderung für die fünf Monate Juni bis und mit September 2012 dürfte folglich nur wenige Franken betragen. Für die Zeit von Oktober 2012 bis und mit September 2014 ist davon auszugehen, dass das anrechenbare Vermögen deutlich tiefer als das von der Beschwerdegegnerin berücksichtigte Vermögen (19’610 = 4’610 + 15’000 Franken) ausfallen wird. Der Vermögensverzehr wird sich also deutlich verringern oder sogar ganz wegfallen. Für diese 24 Monate ist folglich mit einer Nachzahlung zu rechnen. Auch für die Zeit ab Oktober 2014 ist mit einem tieferen Vermögensverzehr und mit einem entsprechend höheren Ergänzungsleistungsanspruch zu rechnen, da die Beschwerdegegnerin irrtümlich von einem zu hohen Vermögensstand ausgegangen ist, weil sie den Sparbrief bei der Bank B.___ doppelt berücksichtigt hat. Gesamthaft ist deshalb davon auszugehen, dass es nicht zu einer reformatio in peius kommen wird.</w:t>
      </w:r>
    </w:p>
    <w:p>
      <w:r>
        <w:rPr>
          <w:b/>
        </w:rPr>
        <w:t>E. 4</w:t>
      </w:r>
    </w:p>
    <w:p>
      <w:r>
        <w:t>Zusammenfassend ist die Beschwerde dahingehend teilweise gutzuheissen, dass die Sache zur Ermittlung des effektiven Erbanteils der Beschwerdeführerin und zur anschliessenden Neufestsetzung des EL-Anspruchs rückwirkend ab dem Anspruchsbeginn am 1. Juni 2012 an die Beschwerdegegnerin zurückzuweisen ist. Im Übrigen ist die Beschwerde abzuweisen. Das Beschwerdeverfahren ist kostenlos (Art. 61 lit. a ATSG). Entscheid im Zirkulationsverfahren gemäss Art. 39 VRP 1. Der angefochtene Einspracheentscheid wird aufgehoben und die Sache wird zur weiteren Abklärung und zur anschliessenden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